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C185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40"/>
          <w:szCs w:val="40"/>
        </w:rPr>
      </w:pPr>
      <w:r>
        <w:rPr>
          <w:rFonts w:ascii="DINPro-Bold" w:hAnsi="DINPro-Bold" w:cs="DINPro-Bold"/>
          <w:b/>
          <w:bCs/>
          <w:color w:val="00E6FF"/>
          <w:sz w:val="40"/>
          <w:szCs w:val="40"/>
        </w:rPr>
        <w:t>Köhler® Bankettwagen für</w:t>
      </w:r>
    </w:p>
    <w:p w14:paraId="4E7F8B97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40"/>
          <w:szCs w:val="40"/>
        </w:rPr>
      </w:pPr>
      <w:r>
        <w:rPr>
          <w:rFonts w:ascii="DINPro-Bold" w:hAnsi="DINPro-Bold" w:cs="DINPro-Bold"/>
          <w:b/>
          <w:bCs/>
          <w:color w:val="00E6FF"/>
          <w:sz w:val="40"/>
          <w:szCs w:val="40"/>
        </w:rPr>
        <w:t>14×GN 1/1</w:t>
      </w:r>
    </w:p>
    <w:p w14:paraId="0E1AF79A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24"/>
          <w:szCs w:val="24"/>
        </w:rPr>
      </w:pPr>
      <w:r>
        <w:rPr>
          <w:rFonts w:ascii="DINPro-Bold" w:hAnsi="DINPro-Bold" w:cs="DINPro-Bold"/>
          <w:b/>
          <w:bCs/>
          <w:color w:val="00E6FF"/>
          <w:sz w:val="24"/>
          <w:szCs w:val="24"/>
        </w:rPr>
        <w:t>FUNKTIONSBESCHREIBUNG</w:t>
      </w:r>
    </w:p>
    <w:p w14:paraId="3B9976F5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Der Hupfer Bankettwagen dient der organisierten Aufnahme,</w:t>
      </w:r>
    </w:p>
    <w:p w14:paraId="09756EB2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Lagerung und dem Transport von Speisenkomponenten auf GN-1/1-</w:t>
      </w:r>
    </w:p>
    <w:p w14:paraId="79246665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Rosten oder in GN-1/1-Behältern.</w:t>
      </w:r>
    </w:p>
    <w:p w14:paraId="047938B1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• Hochwertiger Edelstahl sorgt für langlebige Robustheit und</w:t>
      </w:r>
    </w:p>
    <w:p w14:paraId="3980857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einfache Reinigung</w:t>
      </w:r>
    </w:p>
    <w:p w14:paraId="128DE62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• Doppelwandige, wärmegedämmte Konstruktion minimiert</w:t>
      </w:r>
    </w:p>
    <w:p w14:paraId="68C4170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Wärmeverluste und erhält Speisentemperatur</w:t>
      </w:r>
    </w:p>
    <w:p w14:paraId="45B52B3C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• Effiziente Umluftheizung mit Feuchtheißluftsystem garantiert</w:t>
      </w:r>
    </w:p>
    <w:p w14:paraId="52486AA6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gleichmäßige Temperatur und bewahrt Geschmacksqualität</w:t>
      </w:r>
    </w:p>
    <w:p w14:paraId="3F303194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• Flügeltüren mit automatischer Arretierung ermöglichen</w:t>
      </w:r>
    </w:p>
    <w:p w14:paraId="36EADB59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komfortables Öffnen und sicheres Schließen</w:t>
      </w:r>
    </w:p>
    <w:p w14:paraId="6AEDC457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• Vier durchgehende Schubstangen und robuste Lenkrollen</w:t>
      </w:r>
    </w:p>
    <w:p w14:paraId="3E9223BC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gewährleisten müheloses Manövrieren auch bei geöffneter Tür</w:t>
      </w:r>
    </w:p>
    <w:p w14:paraId="0771ACF5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24"/>
          <w:szCs w:val="24"/>
        </w:rPr>
      </w:pPr>
      <w:r>
        <w:rPr>
          <w:rFonts w:ascii="DINPro-Bold" w:hAnsi="DINPro-Bold" w:cs="DINPro-Bold"/>
          <w:b/>
          <w:bCs/>
          <w:color w:val="00E6FF"/>
          <w:sz w:val="24"/>
          <w:szCs w:val="24"/>
        </w:rPr>
        <w:t>AUSSTATTUNGSMERKMALE</w:t>
      </w:r>
    </w:p>
    <w:p w14:paraId="2F04D553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Garuda" w:hAnsi="Garuda" w:cs="Garuda"/>
          <w:color w:val="00E6FF"/>
          <w:sz w:val="2"/>
          <w:szCs w:val="2"/>
        </w:rPr>
      </w:pPr>
      <w:r>
        <w:rPr>
          <w:rFonts w:ascii="Garuda" w:hAnsi="Garuda" w:cs="Garuda"/>
          <w:color w:val="00E6FF"/>
          <w:sz w:val="2"/>
          <w:szCs w:val="2"/>
        </w:rPr>
        <w:t>.</w:t>
      </w:r>
    </w:p>
    <w:p w14:paraId="67788BF8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Hygienische Edelstahl-Oberflächen</w:t>
      </w:r>
    </w:p>
    <w:p w14:paraId="169E997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Hygienische Edelstahl-Oberflächen sichern eine keimarme</w:t>
      </w:r>
    </w:p>
    <w:p w14:paraId="5D731591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Umgebung. Die glatte, porenfreie Struktur lässt sich schnell und</w:t>
      </w:r>
    </w:p>
    <w:p w14:paraId="230F4E9E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rückstandslos reinigen. So sparen Sie Zeit, senken</w:t>
      </w:r>
    </w:p>
    <w:p w14:paraId="1D47CF4E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Reinigungskosten und erfüllen strenge Hygienestandards – ideal</w:t>
      </w:r>
    </w:p>
    <w:p w14:paraId="66E896E2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für Großküchen und medizinische Bereiche. Robust, langlebig und</w:t>
      </w:r>
    </w:p>
    <w:p w14:paraId="03F15B1C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zuverlässig im täglichen Einsatz.</w:t>
      </w:r>
    </w:p>
    <w:p w14:paraId="5D40F013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Umluftheizung</w:t>
      </w:r>
    </w:p>
    <w:p w14:paraId="1F46FDDE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Die Umluftheizung sorgt durch zirkulierende Luft für eine schnelle</w:t>
      </w:r>
    </w:p>
    <w:p w14:paraId="0185F5E2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und gleichmäßige Wärmeverteilung im gesamten Innenraum. Sie</w:t>
      </w:r>
    </w:p>
    <w:p w14:paraId="0B36967A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ermöglicht kurze Aufheizzeiten und konstante</w:t>
      </w:r>
    </w:p>
    <w:p w14:paraId="483782B7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Temperaturbedingungen, was die Energieeffizienz erhöht und einen</w:t>
      </w:r>
    </w:p>
    <w:p w14:paraId="149E74E5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hygienischen, stabilen und zuverlässigen Betrieb in</w:t>
      </w:r>
    </w:p>
    <w:p w14:paraId="1DF73F39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Garuda" w:hAnsi="Garuda" w:cs="Garuda"/>
          <w:color w:val="00E6FF"/>
          <w:sz w:val="2"/>
          <w:szCs w:val="2"/>
        </w:rPr>
      </w:pPr>
      <w:r>
        <w:rPr>
          <w:rFonts w:ascii="DINPro" w:hAnsi="DINPro" w:cs="DINPro"/>
          <w:color w:val="000000"/>
          <w:sz w:val="16"/>
          <w:szCs w:val="16"/>
        </w:rPr>
        <w:t>unterschiedlichen Anwendungen unterstützt</w:t>
      </w:r>
      <w:proofErr w:type="gramStart"/>
      <w:r>
        <w:rPr>
          <w:rFonts w:ascii="DINPro" w:hAnsi="DINPro" w:cs="DINPro"/>
          <w:color w:val="000000"/>
          <w:sz w:val="16"/>
          <w:szCs w:val="16"/>
        </w:rPr>
        <w:t xml:space="preserve">. </w:t>
      </w:r>
      <w:r>
        <w:rPr>
          <w:rFonts w:ascii="Garuda" w:hAnsi="Garuda" w:cs="Garuda"/>
          <w:color w:val="00E6FF"/>
          <w:sz w:val="2"/>
          <w:szCs w:val="2"/>
        </w:rPr>
        <w:t>.</w:t>
      </w:r>
      <w:proofErr w:type="gramEnd"/>
    </w:p>
    <w:p w14:paraId="314132DE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24"/>
          <w:szCs w:val="24"/>
        </w:rPr>
      </w:pPr>
      <w:r>
        <w:rPr>
          <w:rFonts w:ascii="DINPro-Bold" w:hAnsi="DINPro-Bold" w:cs="DINPro-Bold"/>
          <w:b/>
          <w:bCs/>
          <w:color w:val="00E6FF"/>
          <w:sz w:val="24"/>
          <w:szCs w:val="24"/>
        </w:rPr>
        <w:t>ALLGEMEINE TECHNISCHE DATEN</w:t>
      </w:r>
    </w:p>
    <w:p w14:paraId="2D493B3A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Nennkapazität</w:t>
      </w:r>
    </w:p>
    <w:p w14:paraId="6D71EBF8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proofErr w:type="gramStart"/>
      <w:r>
        <w:rPr>
          <w:rFonts w:ascii="Garuda" w:hAnsi="Garuda" w:cs="Garuda"/>
          <w:color w:val="000000"/>
          <w:sz w:val="2"/>
          <w:szCs w:val="2"/>
        </w:rPr>
        <w:t>.</w:t>
      </w:r>
      <w:r>
        <w:rPr>
          <w:rFonts w:ascii="DINPro-Bold" w:hAnsi="DINPro-Bold" w:cs="DINPro-Bold"/>
          <w:b/>
          <w:bCs/>
          <w:color w:val="000000"/>
          <w:sz w:val="16"/>
          <w:szCs w:val="16"/>
        </w:rPr>
        <w:t>Position</w:t>
      </w:r>
      <w:proofErr w:type="gramEnd"/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 Nennformat Menge</w:t>
      </w:r>
    </w:p>
    <w:p w14:paraId="4676895F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Gesamt GN 1/1 14</w:t>
      </w:r>
    </w:p>
    <w:p w14:paraId="4C80DA27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Garuda" w:hAnsi="Garuda" w:cs="Garuda"/>
          <w:color w:val="000000"/>
          <w:sz w:val="2"/>
          <w:szCs w:val="2"/>
        </w:rPr>
      </w:pPr>
      <w:r>
        <w:rPr>
          <w:rFonts w:ascii="Garuda" w:hAnsi="Garuda" w:cs="Garuda"/>
          <w:color w:val="000000"/>
          <w:sz w:val="2"/>
          <w:szCs w:val="2"/>
        </w:rPr>
        <w:t>.</w:t>
      </w:r>
    </w:p>
    <w:p w14:paraId="063DDF71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Breite </w:t>
      </w:r>
      <w:r>
        <w:rPr>
          <w:rFonts w:ascii="DINPro" w:hAnsi="DINPro" w:cs="DINPro"/>
          <w:color w:val="000000"/>
          <w:sz w:val="16"/>
          <w:szCs w:val="16"/>
        </w:rPr>
        <w:t>640 mm</w:t>
      </w:r>
    </w:p>
    <w:p w14:paraId="0EB19A4A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Tiefe </w:t>
      </w:r>
      <w:r>
        <w:rPr>
          <w:rFonts w:ascii="DINPro" w:hAnsi="DINPro" w:cs="DINPro"/>
          <w:color w:val="000000"/>
          <w:sz w:val="16"/>
          <w:szCs w:val="16"/>
        </w:rPr>
        <w:t>775 mm</w:t>
      </w:r>
    </w:p>
    <w:p w14:paraId="4E78D11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Höhe </w:t>
      </w:r>
      <w:r>
        <w:rPr>
          <w:rFonts w:ascii="DINPro" w:hAnsi="DINPro" w:cs="DINPro"/>
          <w:color w:val="000000"/>
          <w:sz w:val="16"/>
          <w:szCs w:val="16"/>
        </w:rPr>
        <w:t>1.308 mm</w:t>
      </w:r>
    </w:p>
    <w:p w14:paraId="0BFB2346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Gewicht </w:t>
      </w:r>
      <w:r>
        <w:rPr>
          <w:rFonts w:ascii="DINPro" w:hAnsi="DINPro" w:cs="DINPro"/>
          <w:color w:val="000000"/>
          <w:sz w:val="16"/>
          <w:szCs w:val="16"/>
        </w:rPr>
        <w:t>100 kg</w:t>
      </w:r>
    </w:p>
    <w:p w14:paraId="3C84F0D3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Traglast </w:t>
      </w:r>
      <w:r>
        <w:rPr>
          <w:rFonts w:ascii="DINPro" w:hAnsi="DINPro" w:cs="DINPro"/>
          <w:color w:val="000000"/>
          <w:sz w:val="16"/>
          <w:szCs w:val="16"/>
        </w:rPr>
        <w:t>100 kg</w:t>
      </w:r>
    </w:p>
    <w:p w14:paraId="53179190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Hauptmaterial </w:t>
      </w:r>
      <w:r>
        <w:rPr>
          <w:rFonts w:ascii="DINPro" w:hAnsi="DINPro" w:cs="DINPro"/>
          <w:color w:val="000000"/>
          <w:sz w:val="16"/>
          <w:szCs w:val="16"/>
        </w:rPr>
        <w:t>Edelstahl</w:t>
      </w:r>
    </w:p>
    <w:p w14:paraId="4A382305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Garuda" w:hAnsi="Garuda" w:cs="Garuda"/>
          <w:color w:val="000000"/>
          <w:sz w:val="2"/>
          <w:szCs w:val="2"/>
        </w:rPr>
      </w:pPr>
      <w:r>
        <w:rPr>
          <w:rFonts w:ascii="Garuda" w:hAnsi="Garuda" w:cs="Garuda"/>
          <w:color w:val="000000"/>
          <w:sz w:val="2"/>
          <w:szCs w:val="2"/>
        </w:rPr>
        <w:t>.</w:t>
      </w:r>
    </w:p>
    <w:p w14:paraId="66A44B42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24"/>
          <w:szCs w:val="24"/>
        </w:rPr>
      </w:pPr>
      <w:r>
        <w:rPr>
          <w:rFonts w:ascii="DINPro-Bold" w:hAnsi="DINPro-Bold" w:cs="DINPro-Bold"/>
          <w:b/>
          <w:bCs/>
          <w:color w:val="00E6FF"/>
          <w:sz w:val="24"/>
          <w:szCs w:val="24"/>
        </w:rPr>
        <w:t>BEDIENUNG</w:t>
      </w:r>
    </w:p>
    <w:p w14:paraId="47E81804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Bedienelemente</w:t>
      </w:r>
    </w:p>
    <w:p w14:paraId="2DEE20A7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proofErr w:type="gramStart"/>
      <w:r>
        <w:rPr>
          <w:rFonts w:ascii="Garuda" w:hAnsi="Garuda" w:cs="Garuda"/>
          <w:color w:val="000000"/>
          <w:sz w:val="2"/>
          <w:szCs w:val="2"/>
        </w:rPr>
        <w:t>.</w:t>
      </w:r>
      <w:r>
        <w:rPr>
          <w:rFonts w:ascii="DINPro-Bold" w:hAnsi="DINPro-Bold" w:cs="DINPro-Bold"/>
          <w:b/>
          <w:bCs/>
          <w:color w:val="000000"/>
          <w:sz w:val="16"/>
          <w:szCs w:val="16"/>
        </w:rPr>
        <w:t>Bedienbereich</w:t>
      </w:r>
      <w:proofErr w:type="gramEnd"/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 Bedienelement Minimale</w:t>
      </w:r>
    </w:p>
    <w:p w14:paraId="23678049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einstellbare</w:t>
      </w:r>
    </w:p>
    <w:p w14:paraId="54B12D49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Temperatur</w:t>
      </w:r>
    </w:p>
    <w:p w14:paraId="2C232F46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Maximale</w:t>
      </w:r>
    </w:p>
    <w:p w14:paraId="5CD95D88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einstellbare</w:t>
      </w:r>
    </w:p>
    <w:p w14:paraId="19E600BA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Temperatur</w:t>
      </w:r>
    </w:p>
    <w:p w14:paraId="27B69CA4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Gesamteinstellung Drehregler 30 °C 95 °C</w:t>
      </w:r>
    </w:p>
    <w:p w14:paraId="23A3F47B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Garuda" w:hAnsi="Garuda" w:cs="Garuda"/>
          <w:color w:val="000000"/>
          <w:sz w:val="2"/>
          <w:szCs w:val="2"/>
        </w:rPr>
      </w:pPr>
      <w:r>
        <w:rPr>
          <w:rFonts w:ascii="Garuda" w:hAnsi="Garuda" w:cs="Garuda"/>
          <w:color w:val="000000"/>
          <w:sz w:val="2"/>
          <w:szCs w:val="2"/>
        </w:rPr>
        <w:t>.</w:t>
      </w:r>
    </w:p>
    <w:p w14:paraId="63E6CF4C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24"/>
          <w:szCs w:val="24"/>
        </w:rPr>
      </w:pPr>
      <w:r>
        <w:rPr>
          <w:rFonts w:ascii="DINPro-Bold" w:hAnsi="DINPro-Bold" w:cs="DINPro-Bold"/>
          <w:b/>
          <w:bCs/>
          <w:color w:val="00E6FF"/>
          <w:sz w:val="24"/>
          <w:szCs w:val="24"/>
        </w:rPr>
        <w:t>EINSCHUBEIGENSCHAFTEN</w:t>
      </w:r>
    </w:p>
    <w:p w14:paraId="28AB94CA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Ausführung der Einschübe </w:t>
      </w:r>
      <w:r>
        <w:rPr>
          <w:rFonts w:ascii="DINPro" w:hAnsi="DINPro" w:cs="DINPro"/>
          <w:color w:val="000000"/>
          <w:sz w:val="16"/>
          <w:szCs w:val="16"/>
        </w:rPr>
        <w:t>L-Schienen</w:t>
      </w:r>
    </w:p>
    <w:p w14:paraId="5977DEBA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Einschubrichtung </w:t>
      </w:r>
      <w:r>
        <w:rPr>
          <w:rFonts w:ascii="DINPro" w:hAnsi="DINPro" w:cs="DINPro"/>
          <w:color w:val="000000"/>
          <w:sz w:val="16"/>
          <w:szCs w:val="16"/>
        </w:rPr>
        <w:t>Längseinschub</w:t>
      </w:r>
    </w:p>
    <w:p w14:paraId="66A85B23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Kapazität an Tabletts </w:t>
      </w:r>
      <w:r>
        <w:rPr>
          <w:rFonts w:ascii="DINPro" w:hAnsi="DINPro" w:cs="DINPro"/>
          <w:color w:val="000000"/>
          <w:sz w:val="16"/>
          <w:szCs w:val="16"/>
        </w:rPr>
        <w:t>14</w:t>
      </w:r>
    </w:p>
    <w:p w14:paraId="63BD3830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Höhenraster </w:t>
      </w:r>
      <w:r>
        <w:rPr>
          <w:rFonts w:ascii="DINPro" w:hAnsi="DINPro" w:cs="DINPro"/>
          <w:color w:val="000000"/>
          <w:sz w:val="16"/>
          <w:szCs w:val="16"/>
        </w:rPr>
        <w:t>57,5 mm</w:t>
      </w:r>
    </w:p>
    <w:p w14:paraId="6D21678C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Garuda" w:hAnsi="Garuda" w:cs="Garuda"/>
          <w:color w:val="000000"/>
          <w:sz w:val="2"/>
          <w:szCs w:val="2"/>
        </w:rPr>
      </w:pPr>
      <w:r>
        <w:rPr>
          <w:rFonts w:ascii="Garuda" w:hAnsi="Garuda" w:cs="Garuda"/>
          <w:color w:val="000000"/>
          <w:sz w:val="2"/>
          <w:szCs w:val="2"/>
        </w:rPr>
        <w:t>.</w:t>
      </w:r>
    </w:p>
    <w:p w14:paraId="358E4518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24"/>
          <w:szCs w:val="24"/>
        </w:rPr>
      </w:pPr>
      <w:r>
        <w:rPr>
          <w:rFonts w:ascii="DINPro-Bold" w:hAnsi="DINPro-Bold" w:cs="DINPro-Bold"/>
          <w:b/>
          <w:bCs/>
          <w:color w:val="00E6FF"/>
          <w:sz w:val="24"/>
          <w:szCs w:val="24"/>
        </w:rPr>
        <w:t>ELEKTRIK</w:t>
      </w:r>
    </w:p>
    <w:p w14:paraId="2DFD7E77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Nennleistung </w:t>
      </w:r>
      <w:r>
        <w:rPr>
          <w:rFonts w:ascii="DINPro" w:hAnsi="DINPro" w:cs="DINPro"/>
          <w:color w:val="000000"/>
          <w:sz w:val="16"/>
          <w:szCs w:val="16"/>
        </w:rPr>
        <w:t>1.600 W</w:t>
      </w:r>
    </w:p>
    <w:p w14:paraId="70E95F6A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Nennstrom </w:t>
      </w:r>
      <w:r>
        <w:rPr>
          <w:rFonts w:ascii="DINPro" w:hAnsi="DINPro" w:cs="DINPro"/>
          <w:color w:val="000000"/>
          <w:sz w:val="16"/>
          <w:szCs w:val="16"/>
        </w:rPr>
        <w:t>6,9 A</w:t>
      </w:r>
    </w:p>
    <w:p w14:paraId="43FE4A96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Nennspannung </w:t>
      </w:r>
      <w:r>
        <w:rPr>
          <w:rFonts w:ascii="DINPro" w:hAnsi="DINPro" w:cs="DINPro"/>
          <w:color w:val="000000"/>
          <w:sz w:val="16"/>
          <w:szCs w:val="16"/>
        </w:rPr>
        <w:t>220 V</w:t>
      </w:r>
    </w:p>
    <w:p w14:paraId="0D8037AF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Frequenz </w:t>
      </w:r>
      <w:r>
        <w:rPr>
          <w:rFonts w:ascii="DINPro" w:hAnsi="DINPro" w:cs="DINPro"/>
          <w:color w:val="000000"/>
          <w:sz w:val="16"/>
          <w:szCs w:val="16"/>
        </w:rPr>
        <w:t>50 Hz</w:t>
      </w:r>
    </w:p>
    <w:p w14:paraId="0AE4EA3A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Schutzart </w:t>
      </w:r>
      <w:r>
        <w:rPr>
          <w:rFonts w:ascii="DINPro" w:hAnsi="DINPro" w:cs="DINPro"/>
          <w:color w:val="000000"/>
          <w:sz w:val="16"/>
          <w:szCs w:val="16"/>
        </w:rPr>
        <w:t>IPX4</w:t>
      </w:r>
    </w:p>
    <w:p w14:paraId="0AFA68A6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Schutzklasse </w:t>
      </w:r>
      <w:r>
        <w:rPr>
          <w:rFonts w:ascii="DINPro" w:hAnsi="DINPro" w:cs="DINPro"/>
          <w:color w:val="000000"/>
          <w:sz w:val="16"/>
          <w:szCs w:val="16"/>
        </w:rPr>
        <w:t>Klasse 1</w:t>
      </w:r>
    </w:p>
    <w:p w14:paraId="438D56E9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Stecker </w:t>
      </w:r>
      <w:r>
        <w:rPr>
          <w:rFonts w:ascii="DINPro" w:hAnsi="DINPro" w:cs="DINPro"/>
          <w:color w:val="000000"/>
          <w:sz w:val="16"/>
          <w:szCs w:val="16"/>
        </w:rPr>
        <w:t>Schuko-Stecker</w:t>
      </w:r>
    </w:p>
    <w:p w14:paraId="204C01B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Steckerhalterung </w:t>
      </w:r>
      <w:proofErr w:type="spellStart"/>
      <w:r>
        <w:rPr>
          <w:rFonts w:ascii="DINPro" w:hAnsi="DINPro" w:cs="DINPro"/>
          <w:color w:val="000000"/>
          <w:sz w:val="16"/>
          <w:szCs w:val="16"/>
        </w:rPr>
        <w:t>Steckerhalterung</w:t>
      </w:r>
      <w:proofErr w:type="spellEnd"/>
      <w:r>
        <w:rPr>
          <w:rFonts w:ascii="DINPro" w:hAnsi="DINPro" w:cs="DINPro"/>
          <w:color w:val="000000"/>
          <w:sz w:val="16"/>
          <w:szCs w:val="16"/>
        </w:rPr>
        <w:t xml:space="preserve"> universell</w:t>
      </w:r>
    </w:p>
    <w:p w14:paraId="1EEB6204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Anschlussleitung </w:t>
      </w:r>
      <w:r>
        <w:rPr>
          <w:rFonts w:ascii="DINPro" w:hAnsi="DINPro" w:cs="DINPro"/>
          <w:color w:val="000000"/>
          <w:sz w:val="16"/>
          <w:szCs w:val="16"/>
        </w:rPr>
        <w:t>Spiralkabel</w:t>
      </w:r>
    </w:p>
    <w:p w14:paraId="471BE954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Max. Länge Anschlussleitung </w:t>
      </w:r>
      <w:r>
        <w:rPr>
          <w:rFonts w:ascii="DINPro" w:hAnsi="DINPro" w:cs="DINPro"/>
          <w:color w:val="000000"/>
          <w:sz w:val="16"/>
          <w:szCs w:val="16"/>
        </w:rPr>
        <w:t>2.500 mm</w:t>
      </w:r>
    </w:p>
    <w:p w14:paraId="14D305FF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Garuda" w:hAnsi="Garuda" w:cs="Garuda"/>
          <w:color w:val="000000"/>
          <w:sz w:val="2"/>
          <w:szCs w:val="2"/>
        </w:rPr>
      </w:pPr>
      <w:r>
        <w:rPr>
          <w:rFonts w:ascii="Garuda" w:hAnsi="Garuda" w:cs="Garuda"/>
          <w:color w:val="000000"/>
          <w:sz w:val="2"/>
          <w:szCs w:val="2"/>
        </w:rPr>
        <w:t>.</w:t>
      </w:r>
    </w:p>
    <w:p w14:paraId="60E084CF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lastRenderedPageBreak/>
        <w:t>2</w:t>
      </w:r>
    </w:p>
    <w:p w14:paraId="2053E46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40"/>
          <w:szCs w:val="40"/>
        </w:rPr>
      </w:pPr>
      <w:r>
        <w:rPr>
          <w:rFonts w:ascii="DINPro-Bold" w:hAnsi="DINPro-Bold" w:cs="DINPro-Bold"/>
          <w:b/>
          <w:bCs/>
          <w:color w:val="00E6FF"/>
          <w:sz w:val="40"/>
          <w:szCs w:val="40"/>
        </w:rPr>
        <w:t>Köhler® Bankettwagen für 14×GN 1/1</w:t>
      </w:r>
    </w:p>
    <w:p w14:paraId="4D6EDA4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24"/>
          <w:szCs w:val="24"/>
        </w:rPr>
      </w:pPr>
      <w:r>
        <w:rPr>
          <w:rFonts w:ascii="DINPro-Bold" w:hAnsi="DINPro-Bold" w:cs="DINPro-Bold"/>
          <w:b/>
          <w:bCs/>
          <w:color w:val="00E6FF"/>
          <w:sz w:val="24"/>
          <w:szCs w:val="24"/>
        </w:rPr>
        <w:t>GEHÄUSEEIGENSCHAFTEN</w:t>
      </w:r>
    </w:p>
    <w:p w14:paraId="30B9985C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Anzahl der Türen </w:t>
      </w:r>
      <w:r>
        <w:rPr>
          <w:rFonts w:ascii="DINPro" w:hAnsi="DINPro" w:cs="DINPro"/>
          <w:color w:val="000000"/>
          <w:sz w:val="16"/>
          <w:szCs w:val="16"/>
        </w:rPr>
        <w:t>1</w:t>
      </w:r>
    </w:p>
    <w:p w14:paraId="5B16D9D6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Bauweise der Türen </w:t>
      </w:r>
      <w:r>
        <w:rPr>
          <w:rFonts w:ascii="DINPro" w:hAnsi="DINPro" w:cs="DINPro"/>
          <w:color w:val="000000"/>
          <w:sz w:val="16"/>
          <w:szCs w:val="16"/>
        </w:rPr>
        <w:t>Doppelwandig</w:t>
      </w:r>
    </w:p>
    <w:p w14:paraId="16AFCD79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Flügeltüren</w:t>
      </w:r>
    </w:p>
    <w:p w14:paraId="716A4F8E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Garuda" w:hAnsi="Garuda" w:cs="Garuda"/>
          <w:color w:val="000000"/>
          <w:sz w:val="2"/>
          <w:szCs w:val="2"/>
        </w:rPr>
      </w:pPr>
      <w:r>
        <w:rPr>
          <w:rFonts w:ascii="Garuda" w:hAnsi="Garuda" w:cs="Garuda"/>
          <w:color w:val="000000"/>
          <w:sz w:val="2"/>
          <w:szCs w:val="2"/>
        </w:rPr>
        <w:t>.</w:t>
      </w:r>
    </w:p>
    <w:p w14:paraId="167AE80F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24"/>
          <w:szCs w:val="24"/>
        </w:rPr>
      </w:pPr>
      <w:r>
        <w:rPr>
          <w:rFonts w:ascii="DINPro-Bold" w:hAnsi="DINPro-Bold" w:cs="DINPro-Bold"/>
          <w:b/>
          <w:bCs/>
          <w:color w:val="00E6FF"/>
          <w:sz w:val="24"/>
          <w:szCs w:val="24"/>
        </w:rPr>
        <w:t>HEIZUNG</w:t>
      </w:r>
    </w:p>
    <w:p w14:paraId="04254977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Wärmeerzeuger </w:t>
      </w:r>
      <w:r>
        <w:rPr>
          <w:rFonts w:ascii="DINPro" w:hAnsi="DINPro" w:cs="DINPro"/>
          <w:color w:val="000000"/>
          <w:sz w:val="16"/>
          <w:szCs w:val="16"/>
        </w:rPr>
        <w:t>Rohrheizkörper</w:t>
      </w:r>
    </w:p>
    <w:p w14:paraId="25800EAF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Wärmetechnik </w:t>
      </w:r>
      <w:r>
        <w:rPr>
          <w:rFonts w:ascii="DINPro" w:hAnsi="DINPro" w:cs="DINPro"/>
          <w:color w:val="000000"/>
          <w:sz w:val="16"/>
          <w:szCs w:val="16"/>
        </w:rPr>
        <w:t>Konvektion</w:t>
      </w:r>
    </w:p>
    <w:p w14:paraId="3CC008BF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Wärmeleistung gesamt </w:t>
      </w:r>
      <w:r>
        <w:rPr>
          <w:rFonts w:ascii="DINPro" w:hAnsi="DINPro" w:cs="DINPro"/>
          <w:color w:val="000000"/>
          <w:sz w:val="16"/>
          <w:szCs w:val="16"/>
        </w:rPr>
        <w:t>1.600 W</w:t>
      </w:r>
    </w:p>
    <w:p w14:paraId="2E1C5191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Umluftverteilung </w:t>
      </w:r>
      <w:r>
        <w:rPr>
          <w:rFonts w:ascii="DINPro" w:hAnsi="DINPro" w:cs="DINPro"/>
          <w:color w:val="000000"/>
          <w:sz w:val="16"/>
          <w:szCs w:val="16"/>
        </w:rPr>
        <w:t>Ja</w:t>
      </w:r>
    </w:p>
    <w:p w14:paraId="22AE4244" w14:textId="431647BA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Sicherheits-Temperaturbegrenzung</w:t>
      </w:r>
    </w:p>
    <w:p w14:paraId="1230F75C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Ja</w:t>
      </w:r>
    </w:p>
    <w:p w14:paraId="7B8E30E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Garuda" w:hAnsi="Garuda" w:cs="Garuda"/>
          <w:color w:val="000000"/>
          <w:sz w:val="2"/>
          <w:szCs w:val="2"/>
        </w:rPr>
      </w:pPr>
      <w:r>
        <w:rPr>
          <w:rFonts w:ascii="Garuda" w:hAnsi="Garuda" w:cs="Garuda"/>
          <w:color w:val="000000"/>
          <w:sz w:val="2"/>
          <w:szCs w:val="2"/>
        </w:rPr>
        <w:t>.</w:t>
      </w:r>
    </w:p>
    <w:p w14:paraId="18F7F042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E6FF"/>
          <w:sz w:val="24"/>
          <w:szCs w:val="24"/>
        </w:rPr>
      </w:pPr>
      <w:r>
        <w:rPr>
          <w:rFonts w:ascii="DINPro-Bold" w:hAnsi="DINPro-Bold" w:cs="DINPro-Bold"/>
          <w:b/>
          <w:bCs/>
          <w:color w:val="00E6FF"/>
          <w:sz w:val="24"/>
          <w:szCs w:val="24"/>
        </w:rPr>
        <w:t>MOBILITÄT</w:t>
      </w:r>
    </w:p>
    <w:p w14:paraId="7AC8C6B3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>Rollenausstattung</w:t>
      </w:r>
    </w:p>
    <w:p w14:paraId="037BC01C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-Bold" w:hAnsi="DINPro-Bold" w:cs="DINPro-Bold"/>
          <w:b/>
          <w:bCs/>
          <w:color w:val="000000"/>
          <w:sz w:val="16"/>
          <w:szCs w:val="16"/>
        </w:rPr>
      </w:pPr>
      <w:proofErr w:type="gramStart"/>
      <w:r>
        <w:rPr>
          <w:rFonts w:ascii="Garuda" w:hAnsi="Garuda" w:cs="Garuda"/>
          <w:color w:val="000000"/>
          <w:sz w:val="2"/>
          <w:szCs w:val="2"/>
        </w:rPr>
        <w:t>.</w:t>
      </w:r>
      <w:r>
        <w:rPr>
          <w:rFonts w:ascii="DINPro-Bold" w:hAnsi="DINPro-Bold" w:cs="DINPro-Bold"/>
          <w:b/>
          <w:bCs/>
          <w:color w:val="000000"/>
          <w:sz w:val="16"/>
          <w:szCs w:val="16"/>
        </w:rPr>
        <w:t>Rollenart</w:t>
      </w:r>
      <w:proofErr w:type="gramEnd"/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 Anzahl</w:t>
      </w:r>
    </w:p>
    <w:p w14:paraId="3D85A80C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Bockrolle 2</w:t>
      </w:r>
    </w:p>
    <w:p w14:paraId="4B8C9ED6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Lenkrolle mit Feststeller 2</w:t>
      </w:r>
    </w:p>
    <w:p w14:paraId="6CB666B5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Garuda" w:hAnsi="Garuda" w:cs="Garuda"/>
          <w:color w:val="000000"/>
          <w:sz w:val="2"/>
          <w:szCs w:val="2"/>
        </w:rPr>
      </w:pPr>
      <w:r>
        <w:rPr>
          <w:rFonts w:ascii="Garuda" w:hAnsi="Garuda" w:cs="Garuda"/>
          <w:color w:val="000000"/>
          <w:sz w:val="2"/>
          <w:szCs w:val="2"/>
        </w:rPr>
        <w:t>.</w:t>
      </w:r>
    </w:p>
    <w:p w14:paraId="2C8F2E55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Rollenbefestigung </w:t>
      </w:r>
      <w:r>
        <w:rPr>
          <w:rFonts w:ascii="DINPro" w:hAnsi="DINPro" w:cs="DINPro"/>
          <w:color w:val="000000"/>
          <w:sz w:val="16"/>
          <w:szCs w:val="16"/>
        </w:rPr>
        <w:t>Anschraubplatte</w:t>
      </w:r>
    </w:p>
    <w:p w14:paraId="0BF14108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Rollenlager-Art </w:t>
      </w:r>
      <w:r>
        <w:rPr>
          <w:rFonts w:ascii="DINPro" w:hAnsi="DINPro" w:cs="DINPro"/>
          <w:color w:val="000000"/>
          <w:sz w:val="16"/>
          <w:szCs w:val="16"/>
        </w:rPr>
        <w:t>Kugellager</w:t>
      </w:r>
    </w:p>
    <w:p w14:paraId="415894B1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Rollengehäuse-Material </w:t>
      </w:r>
      <w:r>
        <w:rPr>
          <w:rFonts w:ascii="DINPro" w:hAnsi="DINPro" w:cs="DINPro"/>
          <w:color w:val="000000"/>
          <w:sz w:val="16"/>
          <w:szCs w:val="16"/>
        </w:rPr>
        <w:t>Kunststoff</w:t>
      </w:r>
    </w:p>
    <w:p w14:paraId="7E4D1A65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Rollen-ø </w:t>
      </w:r>
      <w:r>
        <w:rPr>
          <w:rFonts w:ascii="DINPro" w:hAnsi="DINPro" w:cs="DINPro"/>
          <w:color w:val="000000"/>
          <w:sz w:val="16"/>
          <w:szCs w:val="16"/>
        </w:rPr>
        <w:t>125 mm</w:t>
      </w:r>
    </w:p>
    <w:p w14:paraId="6EFA9B8F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Rollenlaufbelagsart </w:t>
      </w:r>
      <w:r>
        <w:rPr>
          <w:rFonts w:ascii="DINPro" w:hAnsi="DINPro" w:cs="DINPro"/>
          <w:color w:val="000000"/>
          <w:sz w:val="16"/>
          <w:szCs w:val="16"/>
        </w:rPr>
        <w:t>Gummi – Standard</w:t>
      </w:r>
    </w:p>
    <w:p w14:paraId="1F2EBB5B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Ausführung der Feststeller </w:t>
      </w:r>
      <w:r>
        <w:rPr>
          <w:rFonts w:ascii="DINPro" w:hAnsi="DINPro" w:cs="DINPro"/>
          <w:color w:val="000000"/>
          <w:sz w:val="16"/>
          <w:szCs w:val="16"/>
        </w:rPr>
        <w:t>Totalfeststeller</w:t>
      </w:r>
    </w:p>
    <w:p w14:paraId="5ED65604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Ausführung Stoßschutz </w:t>
      </w:r>
      <w:r>
        <w:rPr>
          <w:rFonts w:ascii="DINPro" w:hAnsi="DINPro" w:cs="DINPro"/>
          <w:color w:val="000000"/>
          <w:sz w:val="16"/>
          <w:szCs w:val="16"/>
        </w:rPr>
        <w:t>Stoßleiste oben und unten</w:t>
      </w:r>
    </w:p>
    <w:p w14:paraId="5FAECDFD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" w:hAnsi="DINPro" w:cs="DINPro"/>
          <w:color w:val="000000"/>
          <w:sz w:val="16"/>
          <w:szCs w:val="16"/>
        </w:rPr>
        <w:t>umlaufend</w:t>
      </w:r>
    </w:p>
    <w:p w14:paraId="50214A63" w14:textId="77777777" w:rsidR="00392EAD" w:rsidRDefault="00392EAD" w:rsidP="00392EAD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color w:val="000000"/>
          <w:sz w:val="16"/>
          <w:szCs w:val="16"/>
        </w:rPr>
      </w:pPr>
      <w:r>
        <w:rPr>
          <w:rFonts w:ascii="DINPro-Bold" w:hAnsi="DINPro-Bold" w:cs="DINPro-Bold"/>
          <w:b/>
          <w:bCs/>
          <w:color w:val="000000"/>
          <w:sz w:val="16"/>
          <w:szCs w:val="16"/>
        </w:rPr>
        <w:t xml:space="preserve">Ausführung Schiebegriffe </w:t>
      </w:r>
      <w:r>
        <w:rPr>
          <w:rFonts w:ascii="DINPro" w:hAnsi="DINPro" w:cs="DINPro"/>
          <w:color w:val="000000"/>
          <w:sz w:val="16"/>
          <w:szCs w:val="16"/>
        </w:rPr>
        <w:t>Vertikale Schiebestangen</w:t>
      </w:r>
    </w:p>
    <w:p w14:paraId="714CEB68" w14:textId="282F8BE3" w:rsidR="00392EAD" w:rsidRDefault="00392EAD" w:rsidP="00392EAD">
      <w:r>
        <w:rPr>
          <w:rFonts w:ascii="Garuda" w:hAnsi="Garuda" w:cs="Garuda"/>
          <w:color w:val="000000"/>
          <w:sz w:val="2"/>
          <w:szCs w:val="2"/>
        </w:rPr>
        <w:t>.</w:t>
      </w:r>
    </w:p>
    <w:sectPr w:rsidR="00392E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ud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AD"/>
    <w:rsid w:val="0039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AD65"/>
  <w15:chartTrackingRefBased/>
  <w15:docId w15:val="{B812F463-D50F-4C7A-9BA1-E344594A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Offermanns</dc:creator>
  <cp:keywords/>
  <dc:description/>
  <cp:lastModifiedBy>Anne Offermanns</cp:lastModifiedBy>
  <cp:revision>1</cp:revision>
  <dcterms:created xsi:type="dcterms:W3CDTF">2026-07-17T10:11:00Z</dcterms:created>
  <dcterms:modified xsi:type="dcterms:W3CDTF">2026-07-17T10:14:00Z</dcterms:modified>
</cp:coreProperties>
</file>